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olor w:val="000000"/>
          <w:sz w:val="24"/>
          <w:szCs w:val="24"/>
          <w:shd w:val="clear" w:color="auto" w:fill="FFFFFF"/>
        </w:rPr>
      </w:pPr>
      <w:bookmarkStart w:id="0" w:name="_GoBack"/>
      <w:bookmarkEnd w:id="0"/>
      <w:r>
        <w:rPr>
          <w:rFonts w:hint="eastAsia" w:ascii="微软雅黑" w:hAnsi="微软雅黑" w:eastAsia="微软雅黑"/>
          <w:color w:val="000000"/>
          <w:sz w:val="24"/>
          <w:szCs w:val="24"/>
          <w:shd w:val="clear" w:color="auto" w:fill="FFFFFF"/>
        </w:rPr>
        <w:t>2012年全国硕士研究生入学统一考试历史学考研真题</w:t>
      </w:r>
    </w:p>
    <w:p>
      <w:r>
        <w:rPr>
          <w:rFonts w:hint="eastAsia" w:ascii="微软雅黑" w:hAnsi="微软雅黑" w:eastAsia="微软雅黑"/>
          <w:color w:val="000000"/>
          <w:sz w:val="18"/>
          <w:szCs w:val="18"/>
          <w:shd w:val="clear" w:color="auto" w:fill="FFFFFF"/>
        </w:rPr>
        <w:t>一、单项选择题：l～20小题，每小题2分，共40分。下列每题给出的四个选项中，只有一个选项是符合题目要求的。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1.考古者试图从中探寻夏文明的新石器文化是：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大汶口文化 B. 河姆渡文化 C. 龙山文化 D. 良渚文化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2.下列西周分封国属于商族后裔的是：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晋国 B. 宋国 C. 楚国 D. 郑国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3.唐代官方颁行的儒家经书、注书是：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经典释文 B. 四书集注 C. 五经正义 D. 十三经注疏</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4. 标志着中国古代白银赋税化的赋役改革是：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两税法 B. 一条鞭法 C. 募役法 D. 摊丁入亩</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5. 乾隆时领导天地会在台湾发动起义的是：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林爽文 B. 王聪儿 C. 林清 D. 蔡牵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6. 甲午战争后，清政府为解决财政困难采取的新措施是：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A。开设厘金 B. 加征田赋 C.</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发行“昭信股票” D. 开铸银元</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7. 1928年南京国民政府发表“改定新约”的对外宣传后，首先与中国签订关税条约的国家是：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美国 B. 比利时 C. 英国 D. 日本</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8. 邓演达领导的“第三党”，其正式名称是：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中国国民党临时行动委员会 B. 中国国民党改组同志会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C. 中国国民党中央特别委员会 D. 中国国民党革命委员会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9. 出席1945年联合国制宪会议的中国代表中的中国共产党员是：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周恩来 B. 董必武 C. 陈毅 D. 张闻天</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10. 20世纪70年代末，城市经济体制改革试点开始于：</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 扩大企业经营自主权 B. 扶植个体经济 C. 建设经济特区 D. 疏通城乡商品流通渠道</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二、名词解释：21～28小题，每小题10分，共80分。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21.《三朝北盟会编》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22.蒲安臣使团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23.“五一六”通知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24.拉美西斯二世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25.后三头政治</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26. 《沙恭达罗》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27. 1905年俄国革命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28. 年鉴学派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三、史料分析题：29～30小题，每小题30分，共60分。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29. 阅读下列材料，并结合所学知识回答问题：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是书何以作曰为以夷攻夷而作为以夷款夷而作为师夷长技以制夷而作……夷之长技三一战舰二火器三养兵练兵之法……是英夷船炮在中国视为绝技在西洋各国视为寻常广东互市二百年始则奇技淫巧受之继则邪教毒烟受之独于行军利器则不一师其长技是但肯受害不肯受益也</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——魏源：《海国图志》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西人)治乱之源富强之本不尽在船坚炮利而在议院上下同心教养得法兴学校广书院重技艺别考课使人尽其才讲农学利水道化瘠土为良田使地尽其利造铁路设电线薄税敛保商务使物畅其流……西人立国具有本末虽礼乐教化远逊中华然其驯致富强亦具有体用育才于学堂论政于议院君民一体上下同心务实而戒虚谋定而后动此其体也轮船火炮洋枪水雷铁路电线此其用也中国遗其体而求其用无论竭蹶步趋常不相及就令铁舰成行铁路四达果足恃欤</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——郑观应：《盛世危言》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(1)在答题纸上对材料一和材料二加以句读。(12分。错断或漏断一处扣0.5分，扣分不超过12分)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(2)概述材料一和材料二观点的异同及其所反映的中国人对西方认识的变化。(18分)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30. 阅读材料下列材料，并结合所学知识回答问题：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年青的女士，有些非难我的人，说我不该一味只想讨女人家的欢喜，又那样喜欢女人。我公开承认：你们是我满心欢喜，而我也极力想讨好你们的欢心。我很想问问这班人，难道这也是值得大惊小怪的事吗?亲爱的女士，我说我们曾经多少次消受甜蜜的接吻、热情的拥抱、以及同床共枕;就光是我能经常瞻仰你们的丰采、娇容、优美的仪态，尤其是亲近你们那种女性的温柔文静，这份快乐不就足够叫人明白我为什么这样想、这样做吗……要说从前我发誓要把自己的力量全部贡献给你们，为你们的欢乐而效劳，那么我现在这份意志就格外坚决了;因为凡是有理性的人都会说：我爱你们，就跟别的男人爱你们一样，是出于天性。谁要是想阻挡人类的天性，那可得好好儿拿点本领出来呢。如果你非要跟它作对不可，那只怕不但枉费心机，到头来还要弄得头破血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——卜伽丘《十日谈》</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人类是一件多么了不得的杰作!多么高贵的理性!多么伟大的力量!多么优美的仪表!多么文雅的举动!在行为上多么像一个天使!在智慧上多么像一个天神!宇宙的精华!万物的灵长!</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——《莎士比亚全集》(九)</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启蒙运动就是人类脱离自己所加之于自己的不成熟状态。不成熟状态就是不经别人的引导，就对运用自己的理智无能为力。当其原因不在于缺乏理智，而在于不经别人的引导就缺乏勇气与决心去加以运用时，那么这种不成熟状态就是自己所加之于自己的了。Sapeve aude(勇于思考——引者注)!要有勇气运用你自己的理智!这就是启蒙运动的口号。</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——康德：《历史理性批判文集》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(1)材料一表达了欧洲中古后期什么样的生活观念?这种观念在当时有什么意义?(10分)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(2)材料一“人类的天性”与材料二“高贵的理性”分别指什么?(6分)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(3)概述上述材料关于人的认识在西方的发展。(14分)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四、论述题：31～33小题，每小题40分，共120分。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31.论述西汉到唐代的赋税制度及其主要变化。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32.论述自16世纪中期到17世纪前半期传教士来华的背景、主要活动及其影响。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7DDC"/>
    <w:rsid w:val="00165BD3"/>
    <w:rsid w:val="007330C8"/>
    <w:rsid w:val="00A37DDC"/>
    <w:rsid w:val="00DF71D1"/>
    <w:rsid w:val="20A2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334</Words>
  <Characters>1909</Characters>
  <Lines>15</Lines>
  <Paragraphs>4</Paragraphs>
  <TotalTime>0</TotalTime>
  <ScaleCrop>false</ScaleCrop>
  <LinksUpToDate>false</LinksUpToDate>
  <CharactersWithSpaces>2239</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2016-11-21T03:29:00Z</dcterms:created>
  <dc:creator>xiaona jia</dc:creator>
  <cp:lastModifiedBy>Administrator</cp:lastModifiedBy>
  <dcterms:modified xsi:type="dcterms:W3CDTF">2017-04-14T09:43:57Z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