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1B3" w:rsidRDefault="00FA2F94">
      <w:pPr>
        <w:rPr>
          <w:rFonts w:ascii="微软雅黑" w:eastAsia="微软雅黑" w:hAnsi="微软雅黑" w:cs="微软雅黑"/>
          <w:b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            </w:t>
      </w:r>
      <w:r>
        <w:rPr>
          <w:rFonts w:ascii="微软雅黑" w:eastAsia="微软雅黑" w:hAnsi="微软雅黑" w:cs="微软雅黑" w:hint="eastAsia"/>
          <w:b/>
          <w:sz w:val="24"/>
          <w:szCs w:val="24"/>
        </w:rPr>
        <w:t>2013</w:t>
      </w:r>
      <w:r>
        <w:rPr>
          <w:rFonts w:ascii="微软雅黑" w:eastAsia="微软雅黑" w:hAnsi="微软雅黑" w:cs="微软雅黑" w:hint="eastAsia"/>
          <w:b/>
          <w:sz w:val="24"/>
          <w:szCs w:val="24"/>
        </w:rPr>
        <w:t>年法律硕士（非法学）专业基础课试题</w:t>
      </w:r>
    </w:p>
    <w:p w:rsidR="001701B3" w:rsidRDefault="00FA2F94">
      <w:pPr>
        <w:pStyle w:val="1"/>
        <w:widowControl/>
        <w:numPr>
          <w:ilvl w:val="0"/>
          <w:numId w:val="1"/>
        </w:numPr>
        <w:wordWrap w:val="0"/>
        <w:spacing w:before="100" w:beforeAutospacing="1" w:after="100" w:afterAutospacing="1"/>
        <w:ind w:firstLineChars="0"/>
        <w:jc w:val="left"/>
        <w:rPr>
          <w:rFonts w:ascii="微软雅黑" w:eastAsia="微软雅黑" w:hAnsi="微软雅黑" w:cs="微软雅黑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选项中，只有一个选项是符合题目要求的。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color w:val="454545"/>
          <w:kern w:val="0"/>
          <w:sz w:val="24"/>
          <w:szCs w:val="24"/>
          <w:shd w:val="clear" w:color="auto" w:fill="FFFFFF"/>
        </w:rPr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1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甲使用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暴力劫取国有档案，人</w:t>
      </w:r>
      <w:r>
        <w:rPr>
          <w:rFonts w:ascii="微软雅黑" w:eastAsia="微软雅黑" w:hAnsi="微软雅黑" w:cs="微软雅黑" w:hint="eastAsia"/>
          <w:sz w:val="24"/>
          <w:szCs w:val="24"/>
        </w:rPr>
        <w:t>民法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院根据我国《</w:t>
      </w:r>
      <w:r>
        <w:rPr>
          <w:rFonts w:ascii="微软雅黑" w:eastAsia="微软雅黑" w:hAnsi="微软雅黑" w:cs="微软雅黑" w:hint="eastAsia"/>
          <w:sz w:val="24"/>
          <w:szCs w:val="24"/>
        </w:rPr>
        <w:t>刑法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》第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329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条“抢夺、窃取国家所有的档案的，处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...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”的规定，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判决甲犯抢夺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国有档案罪。本案中，法院的解释属于（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）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．司法解释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．文理解释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．目的解释</w:t>
      </w:r>
      <w:bookmarkStart w:id="0" w:name="_GoBack"/>
      <w:bookmarkEnd w:id="0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．扩大解释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2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2012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年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5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月，缅甸籍毒贩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糯糠在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泰国境内制造“湄公河惨案”，杀害了十余名我国船员，后被老挝移送我国受审，我国司法机关关于对于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糯糠进行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刑事审判的依据是（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）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．属地管辖权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．保护管辖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．普遍管辖权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．属人管辖权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3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．下列选项中，符合我国刑法关于罚金规定的是（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）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．罚金在判决指定的期限内一次或者分期缴纳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．不允许未成年罪犯的监护人代为垫付罚金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．在判决指定的期限内不缴纳罚金的，应免除罚金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．由于不能抗拒的灾祸，确定不能缴纳罚金的，应免除罚金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4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15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周岁）拐骗一名男孩，准备将其出卖，后因小孩哭闹不止，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lastRenderedPageBreak/>
        <w:t>甲对其进行殴打，造成重伤。甲的行为构成（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）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．绑架罪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．拐卖儿童罪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．故意伤害罪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．非法拘禁罪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5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．甲为泄愤，教唆乙炸毁某公司办公楼，乙因害怕没有实施爆炸，对甲的行为（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）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．应以教唆定罪处罚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．应认定为爆炸的犯意表示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．应以爆炸罪定罪，但应当免除处罚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．应以爆炸罪定罪，但可以减轻处罚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6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．我国刑法划分共同犯罪人种类的依据是（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）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．作用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．作用为主，兼顾分工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．分工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．分工为主，兼顾作用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7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．按照我国刑</w:t>
      </w:r>
      <w:r>
        <w:rPr>
          <w:rFonts w:ascii="微软雅黑" w:eastAsia="微软雅黑" w:hAnsi="微软雅黑" w:cs="微软雅黑" w:hint="eastAsia"/>
          <w:sz w:val="24"/>
          <w:szCs w:val="24"/>
        </w:rPr>
        <w:t>法理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论，绑架罪属于（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）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．继续犯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．结合犯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．状态犯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．连续犯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8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2000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年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3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1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日，甲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因盗窃罪被公安机关立案侦查后，逃往外地，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lastRenderedPageBreak/>
        <w:t>甲又因在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2009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年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9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7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日犯抢劫罪，于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2010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年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6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7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日被抓获，甲所犯盗窃罪的追诉期限（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）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．不受限制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．应从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2000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年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3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1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日期计算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．应从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2009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年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9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7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日期计算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．应从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2010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年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6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7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日起计算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9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．甲驾驶货车途经某村庄时，刮到了路边的赵某。甲从后视镜中看见赵某被抢挂在车后，但为逃避责任继续行驶，致赵某被拖死，甲的行为构成（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）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．交通肇事罪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．交通肇事罪和故意杀人罪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．故意杀人罪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．以危险方法危害公共安全罪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10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2010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年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7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月，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甲成立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了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一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公司，宣称只要购买该公司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999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元的产品，便可成为“务代表”，获取发展人员资格，并以发展人员的数量支付报酬。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甲共引诱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2987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人参加并形成了五级销售网络，骗取财物总值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200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余万元。对甲的行为（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）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．应以诈骗罪定罪处罚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．应以非法经营罪定罪处罚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．应以集资诈骗罪定罪处罚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．应以组织领导传销活动罪定罪处罚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lastRenderedPageBreak/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17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．甲收买被拐卖的张某后，为让其心甘情愿地做自己的妻子，强行与张某发生了性关系。对甲的行为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．应以强奸罪定罪处罚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．应以收买被拐卖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的妇女罪定罪处罚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．应以收买被拐卖的妇女罪与强奸罪数罪并罚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．应以收买被拐卖的妇女罪与强奸罪择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一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重罪定罪处罚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18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．甲公司的董事长乙，指使公司经理丙欺骗银行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,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使公司获得贷款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800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万元用于经营。但因经营不善，造成银行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500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万元贷款无法收回。关于本案，下列选项中正确的是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．甲公司、乙、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丙构成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共同犯罪，乙是主犯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．甲公司构成单位犯罪，乙和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丙构成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共同犯罪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．甲公司不构成犯罪，乙与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丙构成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共同犯罪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．甲公司构成单位犯罪，乙与丙是单位犯罪中的直接责任人员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19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．下列情形中，符合假释的罪行条件的是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．甲因抢劫罪被判处有期徒刑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10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年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．乙因故意伤害罪被判处有期徒刑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15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年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丙因危险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驾驶罪被判处拘役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6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个月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．丁因参加有组织的暴力性犯罪被判处无期徒刑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20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．甲公司明知乙受贿，仍提供银行账户帮助乙将受贿所得兑换成美元，汇往境外，并收取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乙支付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的高额“手续费”。对甲公司的行为应认定为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．受贿罪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lastRenderedPageBreak/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．洗钱罪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．非法经营罪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．掩饰、隐瞒犯罪所得罪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21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．下列选项中，属于民事法律关系的是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．甲男与乙女之间的恋人关系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．甲公司与乙公司之间的技术转让关系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．甲公司与其分支机构之间的业务指导关系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．甲教育局与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乙中学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之间的管理关系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22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．认定公民的出生时间，其证明依据的顺序是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．户籍证明、其他相关证明、医院证明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．户籍证明、医院证明、其他相关证明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．医院证明、其他相关证明、户籍证明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．医院证明、户籍证明、其他相关证明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23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．不满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10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周岁的小学生所为的下列行为中，无效的是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．在走动售货机上买零食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．接受学校对三好学生的物质奖励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．将自己的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200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元压岁钱送给同学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．写了一篇文章并发表在校刊上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26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．在婚姻关系存续期间所得的下列财产，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归夫或妻一方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所有的是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．参加体育比赛所获奖金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．因身体受到伤害获得的医疗费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．通过法定继承分得的遗产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lastRenderedPageBreak/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．以婚前个人存款炒股所得的收益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27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．下列选项中，可以起诉讼时效中止的事由是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．义务人同意履行义务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．当事人提起诉讼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．权力人提出请求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．发生不可抗力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29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．甲以房屋作抵押向乙借款，并办理了抵押登记。后甲未按期归还借款，且未与乙就如何实现抵押权达成协议。根据我国物权法规定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285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．乙有权直接取得房屋的所有权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．乙有权直接变卖房屋以实现抵押权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．乙只能委托拍卖公司拍卖房屋以实现抵押权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．乙可以请求人民法院拍卖、变卖房屋以实现抵押权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30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．甲将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自行车交乙保管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，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不久乙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去世。乙之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子丙误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将自行车当成遗产继承，后在使用过程中致自行车损坏。根据有关规定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丙系恶意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占有人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丙应当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返还自行车给甲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丙应当向甲承担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违约责任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丙应当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赔偿甲的损失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32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．下列关于债的提存的说法中，符合我国合同法规定的是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．债权人无正当理由拒绝受领标的物是提存的条件之一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．提存物在提存期间产生的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孳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息归提存人所有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．债权人超过法定期限不领取提存物，提存物归债务人所有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lastRenderedPageBreak/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．提存期间，提存物毁损灭失的风险由提存机关承担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33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．根据我国合同法规定，以书面形式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作出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承诺的，承诺的生效时间是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．承诺人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作出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承诺时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．承诺通知发出时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．承诺通知到达要约人时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．要约人了解承诺时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34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．根据我国物权法规定，土地承包经营权的取得时间是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．承包合同生效时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．承包合同登记时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．承包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合同公证时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．主管机关批准时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35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．摄影师甲为刘某拍照后，私自将照片卖给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乙制作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挂历销售。后来乙又将照片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送给丙作橱窗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广告，被刘某发现诉至法院。在本案中，侵害刘某肖像权的是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．甲和乙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．乙和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丙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．甲和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丙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．甲、乙、丙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36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．甲、乙系父子关系。乙在注册公司时，讲其父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甲登记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为股东之一，后被甲发现。因甲不同意，双方发生争执并诉至法院。乙的行为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．合法，属于法定代理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．合法，属于无因管理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．非法，侵犯了甲的姓名权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lastRenderedPageBreak/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．非法，侵犯了甲的隐私权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37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．下列申请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注册的商标，不符合我国商标法规定的是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．“仙山”牌药品商标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．“奔月”牌电脑商标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．“耐用”牌家具商标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．“暖阳”牌毛巾商标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38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甲创作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了一首歌曲，乙经甲授权后演唱并将该首歌曲收录在由丙公司为其录制的唱片中。丁网站未经任何人许可，擅自将该唱片中的所有歌曲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上传供网民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免费下载。根据我国著作权法规定，丁网站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．侵犯了甲、乙的发表权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．侵犯了乙、丙的播放权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．侵犯了甲、乙、丙的复制权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．侵犯了甲、乙、丙的</w:t>
      </w:r>
      <w:r>
        <w:rPr>
          <w:rFonts w:ascii="微软雅黑" w:eastAsia="微软雅黑" w:hAnsi="微软雅黑" w:cs="微软雅黑" w:hint="eastAsia"/>
          <w:sz w:val="24"/>
          <w:szCs w:val="24"/>
        </w:rPr>
        <w:t>信息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网络传播权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二、多项选择题：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41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一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50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小题，每小题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分，共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分。下列每题给出的四个选项中，至少有两个选项是符合题目要求的。多选、少选均不得分。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45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．下列选项中，属于挪用公款“归个人使用”的有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．甲个人决定以单位名义将公款供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一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有限责任公司使用，自己未从中牟利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．乙以单位名义将公款供某街道办企业使用，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．丙以个人名义将公款供某国有企业使用，自己未从中获利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．丁将公款借给朋友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，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供该朋友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的孩子出国留学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46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．甲出国前将古琴、油画及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电脑教乙保管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，后乙将古琴出借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给丙，将油画赠送给丁，将电脑出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质给戊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，甲回国后发现以上事实。甲有权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lastRenderedPageBreak/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．要求丙返还古琴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．要求丁返还油画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．要求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戊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返还电脑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．要求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乙承担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违约责任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47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．甲为自己房屋使用的便利，与乙签订地役权合同，约定五年内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乙不得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加盖楼房，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甲支付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5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万元。合同签订后，双方办理了登记手续。三年后甲去世，房屋由丙继承。同年，乙将楼房卖给丁，随后丁加盖楼房，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遭丙阻止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。在本案中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．丙无权阻止丁加盖楼房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．地役权由丙享有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．地役权不因甲死亡而消灭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．丁有权要求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乙承担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违约责任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48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．甲因借款与乙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签定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房屋抵押合同，未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办理抵押登记。后甲又因借款将该房屋抵押给丙，并办理了抵押登记。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现甲不能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偿还对乙、丙的欠款。根据我国民法相关规定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．甲乙之间的抵押合同成立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丙之间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的抵押合同成立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．乙享有抵押权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．丙享有抵押权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49.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列选项中，属于不当得利构成要件的有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．一方获得利益，他方受有损失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．受损方不存在过错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．获益与受损之间有因果关系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lastRenderedPageBreak/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．获益方获得利益没有合法根据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50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．甲乘坐公交公司司机乙驾驶的公交车时，公交车与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一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私家车相撞，甲受伤致残。经认定，该起交通事故应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由乙负全部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责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任。对此，下列选项中，不正确的有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．甲的损失应由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乙承担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责任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B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．甲的损失应由公交公司承担责任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C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．甲的损失应由乙与公交公司承担按份责任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D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．甲的损失应由乙与公交公司承担连带责任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三、简答题：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51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～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54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小题，每小题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6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分，共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24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分。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51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．简述因缺乏共同故意从而不构成共同犯罪的具体情形。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52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．简述诽谤罪的构成要件。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53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．简述知识产权的法律特征。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54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．简述遗嘱的有效要件。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四、辨析题：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55-56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小题，每小题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8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分，共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16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分。要求对命题进行判断并着重阐明理由。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55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．常言道：“不知者，不为罪。”请结合我国刑法学中的认识错误理论加以辨析。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56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．古人云：“子不教，父之过。”请结合我国民法的监护制度和侵权责任制度加以辨析。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五、法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条分析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题：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57-58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小题，每小题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10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分，共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分。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57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．我国《刑法》第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24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条规定：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在犯罪过程中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,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自动放弃犯罪或者自动有效地防止犯罪结果发生的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,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是犯罪中止。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lastRenderedPageBreak/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对于中止犯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,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没有造成损害的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,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应当免除处罚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;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造成损害的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,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应当减轻处罚。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请分析：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1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）本条文中“犯罪过程”的含义。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）本条文中“自动有效地防止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犯罪结果发生”的含义。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3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）如果行为人将被害人砍成重伤后，放弃杀人意图并将被害人送往医院救治，避免了死亡结果发生，行为人的刑事责任应如何定性。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58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．我国《物权法》第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5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条内容规定：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“物权的种类和内容由法律规定。”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br/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请分析：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1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）本条文规定的是物权法的哪项基本原则？其内涵与意义是什么？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）本条文中“法律”的具体表现形式有哪些？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六、案例分析题：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59-60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小题，每小题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15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分，共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30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分。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59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．某公司会计甲，因欠下赌债，产生了占有单位资金的念头。甲偷配了一把由财务部经理保管的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、存放现金的铁皮柜的钥匙，在公司发放工资之日，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甲趁财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务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部无人，用偷配的钥匙打开铁皮柜，取走了工资款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万元，携款回老家。财务部经理发现工资不见了，遂向公安机关报案。甲回家后，经家人劝说，返回公司，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将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万元工资款交给董事长并表示道歉。之后，在董事长的陪同下，甲到派出所供述了上述事实，同时反映某宾馆内经常有人聚赌。公安机关根据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甲提供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的线索，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捣毁了设于该宾馆的赌场，缴获赌资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30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万元，并抓获数十人涉赌人员。之后检察机关以贪污罪对甲提起公诉，被告人辩称其行为属于职务侵占罪，法院判决甲的行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为构成盗窃罪。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根据上述案情，请回答以下问题并分别说明理由：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lastRenderedPageBreak/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1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）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甲的行为如何定罪？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）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甲具有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哪些法定的量刑情节？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60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．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2010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年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3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15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日，甲与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乙达成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买卖协议，约定甲向乙出售孤本线装古书一套（该套书分为上中下三卷），价款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15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万元，双方应于同年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8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9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日同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时履行。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2010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年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5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30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日，甲在搬家过程中不慎将该套书的中卷本丢失。甲第二天在报纸上刊登寻物启事，称归还此书者可得酬金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5000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元。丙拾得此书后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看到该寻物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启事，于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6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6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日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找到甲欲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归还此书，同时要求甲给付酬金。因甲不愿支付酬金，二人产生争执，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丙遂将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书带回家。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2010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年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8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9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日，甲向乙提出，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因自己与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丙之间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的纠纷未解决，无法交付整套书籍，故主张解除合同。乙不同意。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根据上述案情，请回答以下问题并分别说明理由：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1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）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甲是否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有权单方解除合同？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2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）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丙是否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有权拒绝归还此书？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3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）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丙在何种情况下有权要求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甲支付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悬赏广告中的酬金？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br/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4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）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乙是否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有权请求丙交付该套书的中卷本？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 </w:t>
      </w:r>
    </w:p>
    <w:p w:rsidR="001701B3" w:rsidRDefault="00FA2F94">
      <w:pPr>
        <w:rPr>
          <w:rFonts w:ascii="微软雅黑" w:eastAsia="微软雅黑" w:hAnsi="微软雅黑" w:cs="微软雅黑"/>
          <w:b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 xml:space="preserve">           </w:t>
      </w:r>
      <w:r>
        <w:rPr>
          <w:rFonts w:ascii="微软雅黑" w:eastAsia="微软雅黑" w:hAnsi="微软雅黑" w:cs="微软雅黑" w:hint="eastAsia"/>
          <w:b/>
          <w:sz w:val="24"/>
          <w:szCs w:val="24"/>
        </w:rPr>
        <w:t>2013</w:t>
      </w:r>
      <w:r>
        <w:rPr>
          <w:rFonts w:ascii="微软雅黑" w:eastAsia="微软雅黑" w:hAnsi="微软雅黑" w:cs="微软雅黑" w:hint="eastAsia"/>
          <w:b/>
          <w:sz w:val="24"/>
          <w:szCs w:val="24"/>
        </w:rPr>
        <w:t>年法律硕士（非法学）综合</w:t>
      </w:r>
      <w:proofErr w:type="gramStart"/>
      <w:r>
        <w:rPr>
          <w:rFonts w:ascii="微软雅黑" w:eastAsia="微软雅黑" w:hAnsi="微软雅黑" w:cs="微软雅黑" w:hint="eastAsia"/>
          <w:b/>
          <w:sz w:val="24"/>
          <w:szCs w:val="24"/>
        </w:rPr>
        <w:t>课真题</w:t>
      </w:r>
      <w:proofErr w:type="gramEnd"/>
    </w:p>
    <w:p w:rsidR="001701B3" w:rsidRDefault="00FA2F94">
      <w:pPr>
        <w:rPr>
          <w:rFonts w:ascii="微软雅黑" w:eastAsia="微软雅黑" w:hAnsi="微软雅黑" w:cs="微软雅黑"/>
          <w:b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一、单项选择题：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1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～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45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小题，每小题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1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分，共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45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分。下列每题给出的四个选项中，只有一个选项是符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shd w:val="clear" w:color="auto" w:fill="FFFFFF"/>
        </w:rPr>
        <w:t>合题目要求的。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25.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下列选项中，违反我国</w:t>
      </w:r>
      <w:r>
        <w:rPr>
          <w:rFonts w:ascii="微软雅黑" w:eastAsia="微软雅黑" w:hAnsi="微软雅黑" w:cs="微软雅黑" w:hint="eastAsia"/>
          <w:sz w:val="24"/>
          <w:szCs w:val="24"/>
        </w:rPr>
        <w:t>宪法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平等权要求的情形是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A.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自治县县长由实行区域自治的民族公民担任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B.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某</w:t>
      </w:r>
      <w:r>
        <w:rPr>
          <w:rFonts w:ascii="微软雅黑" w:eastAsia="微软雅黑" w:hAnsi="微软雅黑" w:cs="微软雅黑" w:hint="eastAsia"/>
          <w:sz w:val="24"/>
          <w:szCs w:val="24"/>
        </w:rPr>
        <w:t>大学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将“具有博士学位”作为招聘教师条件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lastRenderedPageBreak/>
        <w:t>   C.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某民营饭店在门口贴出通告：“本店谢绝公款消费”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D.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某中央国家机关将“具有北京户口”作为招录公务员条件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26.2012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年“两会”召开前夕，公安机关以涉嫌参与一年前的非法集资为由，逮捕了全国人大代表甲。根据我国宪法和法律，下列表述正确的。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A.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非经全国人大主席团许可，公安机关无权逮捕甲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B.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非经全国人大常委会许可，公安机关无权逮捕甲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C.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公安机关可以拘留甲，但须立即向全国人大主席团报告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D.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公安机关可以拘留甲，但须立即向全国人大常委会报告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27.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我国法律规定，国家建立基本养老、医疗、工伤等保险制度，保障公民在年老、疾病等情况下依法从国家和社会获得物质帮助的权利，此项规定体现的宪法权利是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A.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劳动权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   B.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财产权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  C.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社会保障权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  D.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休息权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28.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下列关于中央国家机关职权或相互间关系的说法，正确的是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A.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最高人</w:t>
      </w:r>
      <w:r>
        <w:rPr>
          <w:rFonts w:ascii="微软雅黑" w:eastAsia="微软雅黑" w:hAnsi="微软雅黑" w:cs="微软雅黑" w:hint="eastAsia"/>
          <w:sz w:val="24"/>
          <w:szCs w:val="24"/>
        </w:rPr>
        <w:t>民法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院对全国人大负责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B.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中央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军委主席须向全国人大报告工作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C.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国务院制定行政法须由全国人大常委会授权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lastRenderedPageBreak/>
        <w:t>  D.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全国人大常委会有权决定省级范围内部分地区进入紧急状态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29.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下列关于国家主席的表述，正确的是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A.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国家主席由全国人大决定产生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B.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国家主席的任职年龄须年满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40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周岁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C.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国家主席缺位是，由副主席代理主席职位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D.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国家主席代表中华人民共和国，进行国事活动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30.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《竹书纪年》记载：“夏蒂芬三十六年作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圜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土”。这里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圜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土是指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A.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法庭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     B.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监狱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      C.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刑罚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     D.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刑书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31.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下列选项中，属于西周司法官责任制度的是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A.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三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宥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之法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B.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三风十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愆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C.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三赦之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法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 D.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五过之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疵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32.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春秋时期，郑国大夫私自修订法律，并书之于竹简，称为“竹刑”。这位大夫是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A.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邓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析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 B.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叔向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 C.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子产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  D.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范宣子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33.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《法经》中规定量刑原则的篇章是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A.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盗法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B.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网法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C.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捕法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 D.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具法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lastRenderedPageBreak/>
        <w:t>34.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秦始皇三十三年，咸阳令审判一起盗羊案件时，误将系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羊绳圈的价值计入赃值，与秦律规定的计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赃方法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不符。依照秦律，该县令的行为已构成犯罪，其所触犯的罪名是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A.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不直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 B.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纵囚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C.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失刑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 D.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擅刑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35.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汉武帝时期颁布的“六条问事”，就其性质而言属于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A.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民事法律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 B.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监察法律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  C.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经济法律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 D.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诉讼法律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36.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据《魏书·刑罚志》记载，北魏延昌三年，冀州阜城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之民费羊皮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为葬母而卖女为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婢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，按律当死。此案在朝野引起巨大争议，后经宣武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帝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权衡各方意见，做出最终裁决：“羊皮卖女葬母，孝诚可嘉，便可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特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原。”关于此案判决所遵循的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法律原则，下列表述正确的是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A.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亲属相犯，罪不至死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B.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为申张孝道，可特赦罪责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C.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诏令与律条冲突时，须依律断案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D.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子女的人格从属尊长，不受法律保护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37.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首次明确区分律和令，从而解决了秦汉以来律令混杂问题的古代律典是（）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A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晋律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 xml:space="preserve">        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B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新律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C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北齐律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 xml:space="preserve">      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D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北魏律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lastRenderedPageBreak/>
        <w:t>38. 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依照唐律的规定，因“耳目所不及，思虑所不至”而杀人是（）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A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误杀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 xml:space="preserve">     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B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过失杀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C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斗杀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 xml:space="preserve">     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D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戏杀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39. 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为防止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冤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错案件，宋朝规定在犯人翻供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且所翻情节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关系重大时，案件改由另一司法机关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重新审理，该制度是（）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A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翻异别推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 xml:space="preserve">    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B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鞫谳分司</w:t>
      </w:r>
      <w:proofErr w:type="gramEnd"/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C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三司推事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 xml:space="preserve">   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D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覆冤理雪</w:t>
      </w:r>
      <w:proofErr w:type="gramEnd"/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40 .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元朝上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都、大都所属蒙古人、色目人与汉人相犯的案件，普通司法机无权管辖，须由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专门机构审理裁决。该专门机构是（）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A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理藩院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 xml:space="preserve">     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B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大理寺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C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宣政院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 xml:space="preserve">    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D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大宗正府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41. 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明洪武三十一年，某省布政使上书皇帝，嘉言宰执大臣“美政才德”依照《大明律》的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规定，该上书行为构成的罪名是（）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A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内乱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 xml:space="preserve">      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B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左官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C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奸党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 xml:space="preserve">  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 xml:space="preserve">    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D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谋大逆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42. 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清朝光绪年间，某官员甲因犯罪而被发配新疆，给驻防八旗官兵当差而奴。甲被判处的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刑罚是（）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lastRenderedPageBreak/>
        <w:t>A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发遣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 xml:space="preserve">      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B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刺配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C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充军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 xml:space="preserve">      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D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流刑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43.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清末变法修律中，清廷制定了中国历史上第一部民法草案。该草案共分五编，其中由修订法律馆会同礼学馆起草的部分是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 A.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总则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B.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债权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C.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物权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D.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继承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44. 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南京国民政府成立初期，普通法院实行的司法审级是（）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A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三级两审制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 xml:space="preserve">    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B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三级三审制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C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四级两审制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 xml:space="preserve">    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D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四级三审制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45. 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人民代表会议制是人民代表大会制度的历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史渊源，该政权组织形式确立于（）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A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土地革命时期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 xml:space="preserve">   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B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抗日战争时期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C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解放战争时期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 xml:space="preserve">   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D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中华人民共和国成立以后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二、多项选择题，第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46~63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小题，每小题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2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分，共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36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分。下列每题给出的四个选项中，至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少有两个选项符合题目要求的。请与答题卡上将所选项的字母涂黑。多选，少选或错选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均不得分。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46. 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下列关于我国法律渊源的说法，正确的有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A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少数民族的习惯属于非正式的法律渊源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lastRenderedPageBreak/>
        <w:t>B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澳门特别行政区基本法在澳门属于根本法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C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我国已经加入的国际条约具体正式法律渊源的地位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D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按照我国有关法律的规定，国际惯例属于正式的法律渊源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47. 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下列选项中属于我国社会法部门的有（）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A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彩票法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B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知识产权法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C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劳动合同法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D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法院组织法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48 .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关于法律原则与法律规则之间的区别，下列表述正确的有（）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 xml:space="preserve"> 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A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法律原则的适用范围比法律规则更广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B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法律规则一般比较具体，法律原则比较抽象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C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法律规则相互间冲突时，法律原则可以成为解释法律规则的依据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D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法律规则是司法裁判的依据，法律原则不能直接在司法过程中适用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49. 2012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年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6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月，我国完成了铁路运输法院移交地方的改革工作。对此，下列说法正确的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有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（）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A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这有利于实现司法公正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lastRenderedPageBreak/>
        <w:t>B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这有利于司法机关摆脱部门利益的干扰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C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这符合宪法关于人民法院是国家审判机关的定性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D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这符合宪法关于人民法院依法独立行使审判权的原则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50. 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下列关于法的价值的表述，能够成立的有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A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法的价值影响人们的法律实践活动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B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法律的各种主要价值之间存在一定的冲突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C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与法律原则相比，法律规则更能体现法的价值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D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除了正义，自由的秩序外，不存在其他法的价值。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51.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下列关于权利能力和行为能力的表述，能够成立的有</w:t>
      </w:r>
    </w:p>
    <w:p w:rsidR="001701B3" w:rsidRDefault="00FA2F94">
      <w:pPr>
        <w:widowControl/>
        <w:wordWrap w:val="0"/>
        <w:spacing w:before="100" w:beforeAutospacing="1" w:after="100" w:afterAutospacing="1"/>
        <w:ind w:left="585" w:hanging="36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A.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法人的权利能力和行为能力同时取得</w:t>
      </w:r>
    </w:p>
    <w:p w:rsidR="001701B3" w:rsidRDefault="00FA2F94">
      <w:pPr>
        <w:widowControl/>
        <w:wordWrap w:val="0"/>
        <w:spacing w:before="100" w:beforeAutospacing="1" w:after="100" w:afterAutospacing="1"/>
        <w:ind w:left="585" w:hanging="36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B.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自然人的权利能力和行为能力因出生而取得</w:t>
      </w:r>
    </w:p>
    <w:p w:rsidR="001701B3" w:rsidRDefault="00FA2F94">
      <w:pPr>
        <w:widowControl/>
        <w:wordWrap w:val="0"/>
        <w:spacing w:before="100" w:beforeAutospacing="1" w:after="100" w:afterAutospacing="1"/>
        <w:ind w:left="585" w:hanging="36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C.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外国人在中国只具备行为能力，不具备权利能力</w:t>
      </w:r>
    </w:p>
    <w:p w:rsidR="001701B3" w:rsidRDefault="00FA2F94">
      <w:pPr>
        <w:widowControl/>
        <w:wordWrap w:val="0"/>
        <w:spacing w:before="100" w:beforeAutospacing="1" w:after="100" w:afterAutospacing="1"/>
        <w:ind w:left="585" w:hanging="36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D.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我国境内的无国籍人也可能具有权利能力和行为能力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52.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下列选项中，属于美国联邦宪法原则的有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A.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议会至上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B.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有限政府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C.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分权制衡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 D.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联邦与州的分权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lastRenderedPageBreak/>
        <w:t>53.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下列关于宪法优位的说法，正确的有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21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A.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法律必须受宪法约束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21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B.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行政法规不得同宪法相抵触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21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C.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国家机关的行为必须有明确的宪法依据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21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D.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宪法优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位要求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在行政机关和立法机关的关系上遵循法律优位原则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54.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国务院制定《个体工商户条例》第一条规定：“为了保护个体工商户的合法权益，鼓励、支持和引导个体工商户健康发展，加强对个体工商户的监督、管理，发挥其在经济社会发展和扩大就业中的重要作用，制定本条例。”该规定的宪法依据包括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A.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国家鼓励、指导和帮助非公有制经济的发展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B.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国家保护非公有制经济的合法的权利和利益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C.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国家鼓励、支持和引导非公有制经济的发展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D.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国家对非公有制经济依法实行监督和管理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55.2010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年《选举法》修正案中涉及选举权平等性原则的内容有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A.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选民所投的选票具有同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等的法律效率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B.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人人平等，即城乡按相同人口比例选举代表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lastRenderedPageBreak/>
        <w:t>   C.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民族平等，即各民族都有适当数量的人大代表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D.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地区平等，即各行政区域都应有相同的基本名额数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56.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我国宪法规定，国家和社会帮助安排盲、聋、哑和其他有残疾的公民的劳动、生活和教育。下列选项中，对这一规定理解正确的有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A.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该规定属于合理的差别对待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B.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该规定与宪法平等原则相抵触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C.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政府对残疾人差别对待须负举证责任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D.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对残疾人实行优惠措施应当是必要和适当的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57 .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我国宪法规定：“中华人民共和国人民有依照法律纳税的义务。”对于该条文，下列理解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正确的有（）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 xml:space="preserve"> 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A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税收属于法律保留事项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   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B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依照纳税是公民的一项基本义务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C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“依照法律”包括对国家征税的约束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D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该条中的“法律”仅限于全国人大及其常务委员制度的法律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58. 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根据宪法和法律规定，下列关于村民委员会的表述，正确的有（）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A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村民委员会实行村务公开制度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lastRenderedPageBreak/>
        <w:t>B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村民委员会的选举由乡选举委员会主持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C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村民委员会可以按照居住状况分设若干村民小组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D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村民委员会根据需要设立人民调解、治安保卫等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委员会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59. 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战国时代，各诸侯国的立法指导思想主要包括（）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A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一断于法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B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刑无等级</w:t>
      </w:r>
      <w:proofErr w:type="gramEnd"/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C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轻罪重罚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D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明德慎罚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60. 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根据宋朝的法律规定，能够继承家庭财产的人包括（）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A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庶子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B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命继子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C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在室女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D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待嫁女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61 .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下列选项中，以六部官制作为分篇体例的国家律典有（）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A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《宋刑统》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lastRenderedPageBreak/>
        <w:t>B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《大明律》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C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《大清律例》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D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《大清现行刑律》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62. 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下列选项中，属于《大清新刑律》规定的刑罚种类的有（）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A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流刑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  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B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管制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C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有期徒刑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D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无期徒刑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63. 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下列关于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1930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年《中华民国法》立法特点的表述，正确的有（）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A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确定了所有权绝对原则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B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采取了民商合一的编纂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C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吸取了国外民法的最新学理</w:t>
      </w:r>
    </w:p>
    <w:p w:rsidR="001701B3" w:rsidRDefault="00FA2F94">
      <w:pPr>
        <w:widowControl/>
        <w:wordWrap w:val="0"/>
        <w:spacing w:before="100" w:beforeAutospacing="1" w:after="100" w:afterAutospacing="1"/>
        <w:ind w:firstLine="420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D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肯定了包办买卖婚姻习惯的效力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三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简答题：第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64~66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小题，每小题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8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分，共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24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分。请将答案写在答题卡指定位置的边框区域内。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64. 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简述法的规范作用与社会作用的关系。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lastRenderedPageBreak/>
        <w:t>65. 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简述上下级人民检察院的关系及其表现。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66. 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简述《中华民国临时约法》的历史意义。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四．分析题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67.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法律文化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68.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全国人大常委会立法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69. 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《唐律疏议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断狱律》：“诸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疑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罪，各依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所犯，以赎论，是非之理均，或涉嫌疑似者，旁无证见；或傍有闻证，事非疑似之类，即疑狱，法官执见不同者，得为异议，议不得过三。”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请运用中国法律史的知识和理论，分析上述文字并回答下列问题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    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1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）唐律处理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疑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罪的基本原则是什么？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2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）依照唐律上述规定，</w:t>
      </w:r>
      <w:proofErr w:type="gramStart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疑罪分为</w:t>
      </w:r>
      <w:proofErr w:type="gramEnd"/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哪几种情形？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3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）唐律关于法官处理疑狱的规定是什么？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（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4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）如何评价唐律的这一规定？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五．论述题（</w:t>
      </w:r>
      <w:r>
        <w:rPr>
          <w:rFonts w:ascii="微软雅黑" w:eastAsia="微软雅黑" w:hAnsi="微软雅黑" w:cs="微软雅黑" w:hint="eastAsia"/>
          <w:sz w:val="24"/>
          <w:szCs w:val="24"/>
        </w:rPr>
        <w:t>法理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）</w:t>
      </w:r>
    </w:p>
    <w:p w:rsidR="001701B3" w:rsidRDefault="00FA2F94">
      <w:pPr>
        <w:widowControl/>
        <w:wordWrap w:val="0"/>
        <w:spacing w:before="100" w:beforeAutospacing="1" w:after="100" w:afterAutospacing="1"/>
        <w:jc w:val="left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70.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联系现实，论述现代法治的基本原则。</w:t>
      </w:r>
    </w:p>
    <w:p w:rsidR="001701B3" w:rsidRPr="005F162F" w:rsidRDefault="00FA2F94" w:rsidP="005F162F">
      <w:pPr>
        <w:widowControl/>
        <w:wordWrap w:val="0"/>
        <w:spacing w:line="345" w:lineRule="atLeast"/>
        <w:jc w:val="left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color w:val="000000"/>
          <w:kern w:val="0"/>
          <w:sz w:val="24"/>
          <w:szCs w:val="24"/>
        </w:rPr>
        <w:t xml:space="preserve">                   </w:t>
      </w:r>
    </w:p>
    <w:sectPr w:rsidR="001701B3" w:rsidRPr="005F162F" w:rsidSect="001701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F94" w:rsidRDefault="00FA2F94" w:rsidP="005F162F">
      <w:r>
        <w:separator/>
      </w:r>
    </w:p>
  </w:endnote>
  <w:endnote w:type="continuationSeparator" w:id="0">
    <w:p w:rsidR="00FA2F94" w:rsidRDefault="00FA2F94" w:rsidP="005F16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F94" w:rsidRDefault="00FA2F94" w:rsidP="005F162F">
      <w:r>
        <w:separator/>
      </w:r>
    </w:p>
  </w:footnote>
  <w:footnote w:type="continuationSeparator" w:id="0">
    <w:p w:rsidR="00FA2F94" w:rsidRDefault="00FA2F94" w:rsidP="005F16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44D17"/>
    <w:multiLevelType w:val="multilevel"/>
    <w:tmpl w:val="22944D17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11B7"/>
    <w:rsid w:val="001701B3"/>
    <w:rsid w:val="001F01A2"/>
    <w:rsid w:val="00364433"/>
    <w:rsid w:val="005F162F"/>
    <w:rsid w:val="006811B7"/>
    <w:rsid w:val="007C6E43"/>
    <w:rsid w:val="009079D0"/>
    <w:rsid w:val="009773BF"/>
    <w:rsid w:val="00A049BE"/>
    <w:rsid w:val="00AD18F0"/>
    <w:rsid w:val="00BB0C9E"/>
    <w:rsid w:val="00BD7DB7"/>
    <w:rsid w:val="00C2448F"/>
    <w:rsid w:val="00C76861"/>
    <w:rsid w:val="00CC542B"/>
    <w:rsid w:val="00DA3212"/>
    <w:rsid w:val="00FA2F94"/>
    <w:rsid w:val="00FD2404"/>
    <w:rsid w:val="12F70B2D"/>
    <w:rsid w:val="32C304A7"/>
    <w:rsid w:val="516B5094"/>
    <w:rsid w:val="6DBE0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1B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701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701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1701B3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rsid w:val="001701B3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701B3"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rsid w:val="001701B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24</Pages>
  <Words>1484</Words>
  <Characters>8462</Characters>
  <Application>Microsoft Office Word</Application>
  <DocSecurity>0</DocSecurity>
  <Lines>70</Lines>
  <Paragraphs>19</Paragraphs>
  <ScaleCrop>false</ScaleCrop>
  <Company>Microsoft</Company>
  <LinksUpToDate>false</LinksUpToDate>
  <CharactersWithSpaces>9927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燕精灵</dc:creator>
  <cp:lastModifiedBy>Administrator</cp:lastModifiedBy>
  <cp:revision>3</cp:revision>
  <dcterms:created xsi:type="dcterms:W3CDTF">2017-03-10T02:17:00Z</dcterms:created>
  <dcterms:modified xsi:type="dcterms:W3CDTF">2017-03-20T05:52:00Z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